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6E" w:rsidRPr="009E386E" w:rsidRDefault="009E386E" w:rsidP="009E386E">
      <w:pPr>
        <w:spacing w:before="100" w:beforeAutospacing="1" w:after="100" w:afterAutospacing="1" w:line="240" w:lineRule="auto"/>
        <w:outlineLvl w:val="1"/>
        <w:rPr>
          <w:rFonts w:eastAsia="Times New Roman" w:cs="Times New Roman"/>
          <w:b/>
          <w:bCs/>
          <w:color w:val="000000"/>
          <w:sz w:val="36"/>
          <w:szCs w:val="36"/>
          <w:lang w:eastAsia="es-ES"/>
        </w:rPr>
      </w:pPr>
      <w:r w:rsidRPr="009E386E">
        <w:rPr>
          <w:rFonts w:eastAsia="Times New Roman" w:cs="Times New Roman"/>
          <w:b/>
          <w:bCs/>
          <w:color w:val="000000"/>
          <w:sz w:val="36"/>
          <w:szCs w:val="36"/>
          <w:lang w:eastAsia="es-ES"/>
        </w:rPr>
        <w:t>Perfil recomendado para el estudiante de nuevo ingreso</w:t>
      </w:r>
    </w:p>
    <w:p w:rsidR="009E386E" w:rsidRPr="009E386E" w:rsidRDefault="009E386E" w:rsidP="009E386E">
      <w:pPr>
        <w:spacing w:before="100" w:beforeAutospacing="1" w:after="100" w:afterAutospacing="1" w:line="240" w:lineRule="auto"/>
        <w:rPr>
          <w:rFonts w:eastAsia="Times New Roman" w:cs="Times New Roman"/>
          <w:color w:val="000000"/>
          <w:sz w:val="20"/>
          <w:szCs w:val="20"/>
          <w:lang w:eastAsia="es-ES"/>
        </w:rPr>
      </w:pPr>
      <w:r w:rsidRPr="009E386E">
        <w:rPr>
          <w:rFonts w:eastAsia="Times New Roman" w:cs="Times New Roman"/>
          <w:color w:val="000000"/>
          <w:sz w:val="20"/>
          <w:szCs w:val="20"/>
          <w:lang w:eastAsia="es-ES"/>
        </w:rPr>
        <w:t>Al Grado en Psicología se accede con el Bachillerato y la Prueba de Acceso a la Universidad.</w:t>
      </w:r>
      <w:r w:rsidRPr="009E386E">
        <w:rPr>
          <w:rFonts w:eastAsia="Times New Roman" w:cs="Times New Roman"/>
          <w:color w:val="000000"/>
          <w:sz w:val="20"/>
          <w:szCs w:val="20"/>
          <w:lang w:eastAsia="es-ES"/>
        </w:rPr>
        <w:br/>
        <w:t>En caso de que la demanda de plazas sea superior al número ofertado, en la adjudicación, se tendrá en cuenta la nota obtenida en la Prueba de Acceso, sumándole, en su caso, la ponderación para este grado obtenida en la Fase Específica.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87"/>
        <w:gridCol w:w="2908"/>
      </w:tblGrid>
      <w:tr w:rsidR="009E386E" w:rsidRPr="009E386E" w:rsidTr="009E386E">
        <w:trPr>
          <w:trHeight w:val="229"/>
          <w:tblCellSpacing w:w="0" w:type="dxa"/>
          <w:jc w:val="center"/>
        </w:trPr>
        <w:tc>
          <w:tcPr>
            <w:tcW w:w="5695" w:type="dxa"/>
            <w:gridSpan w:val="2"/>
            <w:tcBorders>
              <w:top w:val="outset" w:sz="6" w:space="0" w:color="auto"/>
              <w:left w:val="outset" w:sz="6" w:space="0" w:color="auto"/>
              <w:bottom w:val="outset" w:sz="6" w:space="0" w:color="auto"/>
              <w:right w:val="outset" w:sz="6" w:space="0" w:color="auto"/>
            </w:tcBorders>
            <w:vAlign w:val="center"/>
            <w:hideMark/>
          </w:tcPr>
          <w:p w:rsidR="009E386E" w:rsidRPr="009E386E" w:rsidRDefault="009E386E" w:rsidP="009E386E">
            <w:pPr>
              <w:spacing w:before="100" w:beforeAutospacing="1" w:after="100" w:afterAutospacing="1" w:line="240" w:lineRule="auto"/>
              <w:ind w:left="100" w:right="100"/>
              <w:rPr>
                <w:rFonts w:eastAsia="Times New Roman" w:cs="Times New Roman"/>
                <w:color w:val="000000"/>
                <w:sz w:val="20"/>
                <w:szCs w:val="20"/>
                <w:lang w:eastAsia="es-ES"/>
              </w:rPr>
            </w:pPr>
            <w:r w:rsidRPr="009E386E">
              <w:rPr>
                <w:rFonts w:eastAsia="Times New Roman" w:cs="Times New Roman"/>
                <w:b/>
                <w:bCs/>
                <w:color w:val="000000"/>
                <w:sz w:val="20"/>
                <w:szCs w:val="20"/>
                <w:lang w:eastAsia="es-ES"/>
              </w:rPr>
              <w:t>Materias de modalidad de la rama de conocimiento Ciencias de la Salud</w:t>
            </w:r>
          </w:p>
        </w:tc>
      </w:tr>
      <w:tr w:rsidR="009E386E" w:rsidRPr="009E386E" w:rsidTr="009E386E">
        <w:trPr>
          <w:trHeight w:val="218"/>
          <w:tblCellSpacing w:w="0" w:type="dxa"/>
          <w:jc w:val="center"/>
        </w:trPr>
        <w:tc>
          <w:tcPr>
            <w:tcW w:w="2787" w:type="dxa"/>
            <w:tcBorders>
              <w:top w:val="outset" w:sz="6" w:space="0" w:color="auto"/>
              <w:left w:val="outset" w:sz="6" w:space="0" w:color="auto"/>
              <w:bottom w:val="outset" w:sz="6" w:space="0" w:color="auto"/>
              <w:right w:val="outset" w:sz="6" w:space="0" w:color="auto"/>
            </w:tcBorders>
            <w:vAlign w:val="center"/>
            <w:hideMark/>
          </w:tcPr>
          <w:p w:rsidR="009E386E" w:rsidRPr="009E386E" w:rsidRDefault="009E386E" w:rsidP="009E386E">
            <w:pPr>
              <w:spacing w:before="100" w:beforeAutospacing="1" w:after="100" w:afterAutospacing="1" w:line="240" w:lineRule="auto"/>
              <w:ind w:left="100" w:right="100"/>
              <w:rPr>
                <w:rFonts w:eastAsia="Times New Roman" w:cs="Times New Roman"/>
                <w:color w:val="000000"/>
                <w:sz w:val="20"/>
                <w:szCs w:val="20"/>
                <w:lang w:eastAsia="es-ES"/>
              </w:rPr>
            </w:pPr>
            <w:r w:rsidRPr="009E386E">
              <w:rPr>
                <w:rFonts w:eastAsia="Times New Roman" w:cs="Times New Roman"/>
                <w:b/>
                <w:bCs/>
                <w:color w:val="000000"/>
                <w:sz w:val="20"/>
                <w:szCs w:val="20"/>
                <w:lang w:eastAsia="es-ES"/>
              </w:rPr>
              <w:t>Coeficiente de ponderación 0,2</w:t>
            </w:r>
          </w:p>
        </w:tc>
        <w:tc>
          <w:tcPr>
            <w:tcW w:w="2908" w:type="dxa"/>
            <w:tcBorders>
              <w:top w:val="outset" w:sz="6" w:space="0" w:color="auto"/>
              <w:left w:val="outset" w:sz="6" w:space="0" w:color="auto"/>
              <w:bottom w:val="outset" w:sz="6" w:space="0" w:color="auto"/>
              <w:right w:val="outset" w:sz="6" w:space="0" w:color="auto"/>
            </w:tcBorders>
            <w:vAlign w:val="center"/>
            <w:hideMark/>
          </w:tcPr>
          <w:p w:rsidR="009E386E" w:rsidRPr="009E386E" w:rsidRDefault="009E386E" w:rsidP="009E386E">
            <w:pPr>
              <w:spacing w:before="100" w:beforeAutospacing="1" w:after="100" w:afterAutospacing="1" w:line="240" w:lineRule="auto"/>
              <w:ind w:left="100" w:right="100"/>
              <w:rPr>
                <w:rFonts w:eastAsia="Times New Roman" w:cs="Times New Roman"/>
                <w:color w:val="000000"/>
                <w:sz w:val="20"/>
                <w:szCs w:val="20"/>
                <w:lang w:eastAsia="es-ES"/>
              </w:rPr>
            </w:pPr>
            <w:r w:rsidRPr="009E386E">
              <w:rPr>
                <w:rFonts w:eastAsia="Times New Roman" w:cs="Times New Roman"/>
                <w:b/>
                <w:bCs/>
                <w:color w:val="000000"/>
                <w:sz w:val="20"/>
                <w:szCs w:val="20"/>
                <w:lang w:eastAsia="es-ES"/>
              </w:rPr>
              <w:t>Coeficiente de ponderación 0,1</w:t>
            </w:r>
          </w:p>
        </w:tc>
      </w:tr>
      <w:tr w:rsidR="009E386E" w:rsidRPr="009E386E" w:rsidTr="009E386E">
        <w:trPr>
          <w:trHeight w:val="414"/>
          <w:tblCellSpacing w:w="0" w:type="dxa"/>
          <w:jc w:val="center"/>
        </w:trPr>
        <w:tc>
          <w:tcPr>
            <w:tcW w:w="2787" w:type="dxa"/>
            <w:tcBorders>
              <w:top w:val="outset" w:sz="6" w:space="0" w:color="auto"/>
              <w:left w:val="outset" w:sz="6" w:space="0" w:color="auto"/>
              <w:bottom w:val="outset" w:sz="6" w:space="0" w:color="auto"/>
              <w:right w:val="outset" w:sz="6" w:space="0" w:color="auto"/>
            </w:tcBorders>
            <w:vAlign w:val="center"/>
            <w:hideMark/>
          </w:tcPr>
          <w:p w:rsidR="009E386E" w:rsidRPr="009E386E" w:rsidRDefault="009E386E" w:rsidP="009E386E">
            <w:pPr>
              <w:spacing w:before="100" w:after="100" w:line="240" w:lineRule="auto"/>
              <w:ind w:left="100" w:right="100"/>
              <w:rPr>
                <w:rFonts w:eastAsia="Times New Roman" w:cs="Times New Roman"/>
                <w:color w:val="000000"/>
                <w:sz w:val="20"/>
                <w:szCs w:val="20"/>
                <w:lang w:eastAsia="es-ES"/>
              </w:rPr>
            </w:pPr>
            <w:r w:rsidRPr="009E386E">
              <w:rPr>
                <w:rFonts w:eastAsia="Times New Roman" w:cs="Times New Roman"/>
                <w:color w:val="000000"/>
                <w:sz w:val="20"/>
                <w:szCs w:val="20"/>
                <w:lang w:eastAsia="es-ES"/>
              </w:rPr>
              <w:t>Biología</w:t>
            </w:r>
          </w:p>
        </w:tc>
        <w:tc>
          <w:tcPr>
            <w:tcW w:w="2908" w:type="dxa"/>
            <w:tcBorders>
              <w:top w:val="outset" w:sz="6" w:space="0" w:color="auto"/>
              <w:left w:val="outset" w:sz="6" w:space="0" w:color="auto"/>
              <w:bottom w:val="outset" w:sz="6" w:space="0" w:color="auto"/>
              <w:right w:val="outset" w:sz="6" w:space="0" w:color="auto"/>
            </w:tcBorders>
            <w:vAlign w:val="center"/>
            <w:hideMark/>
          </w:tcPr>
          <w:p w:rsidR="009E386E" w:rsidRPr="009E386E" w:rsidRDefault="009E386E" w:rsidP="009E386E">
            <w:pPr>
              <w:spacing w:before="100" w:beforeAutospacing="1" w:after="100" w:afterAutospacing="1" w:line="240" w:lineRule="auto"/>
              <w:ind w:left="100" w:right="100"/>
              <w:rPr>
                <w:rFonts w:eastAsia="Times New Roman" w:cs="Times New Roman"/>
                <w:color w:val="000000"/>
                <w:sz w:val="20"/>
                <w:szCs w:val="20"/>
                <w:lang w:eastAsia="es-ES"/>
              </w:rPr>
            </w:pPr>
            <w:proofErr w:type="spellStart"/>
            <w:r w:rsidRPr="009E386E">
              <w:rPr>
                <w:rFonts w:eastAsia="Times New Roman" w:cs="Times New Roman"/>
                <w:color w:val="000000"/>
                <w:sz w:val="20"/>
                <w:szCs w:val="20"/>
                <w:lang w:eastAsia="es-ES"/>
              </w:rPr>
              <w:t>Anatomia</w:t>
            </w:r>
            <w:proofErr w:type="spellEnd"/>
            <w:r w:rsidRPr="009E386E">
              <w:rPr>
                <w:rFonts w:eastAsia="Times New Roman" w:cs="Times New Roman"/>
                <w:color w:val="000000"/>
                <w:sz w:val="20"/>
                <w:szCs w:val="20"/>
                <w:lang w:eastAsia="es-ES"/>
              </w:rPr>
              <w:t xml:space="preserve"> Aplicada (1)</w:t>
            </w:r>
          </w:p>
        </w:tc>
      </w:tr>
      <w:tr w:rsidR="009E386E" w:rsidRPr="009E386E" w:rsidTr="009E386E">
        <w:trPr>
          <w:trHeight w:val="414"/>
          <w:tblCellSpacing w:w="0" w:type="dxa"/>
          <w:jc w:val="center"/>
        </w:trPr>
        <w:tc>
          <w:tcPr>
            <w:tcW w:w="2787" w:type="dxa"/>
            <w:tcBorders>
              <w:top w:val="outset" w:sz="6" w:space="0" w:color="auto"/>
              <w:left w:val="outset" w:sz="6" w:space="0" w:color="auto"/>
              <w:bottom w:val="outset" w:sz="6" w:space="0" w:color="auto"/>
              <w:right w:val="outset" w:sz="6" w:space="0" w:color="auto"/>
            </w:tcBorders>
            <w:vAlign w:val="center"/>
            <w:hideMark/>
          </w:tcPr>
          <w:p w:rsidR="009E386E" w:rsidRPr="009E386E" w:rsidRDefault="009E386E" w:rsidP="009E386E">
            <w:pPr>
              <w:spacing w:before="100" w:after="100" w:line="240" w:lineRule="auto"/>
              <w:ind w:left="100" w:right="100"/>
              <w:rPr>
                <w:rFonts w:eastAsia="Times New Roman" w:cs="Times New Roman"/>
                <w:color w:val="000000"/>
                <w:sz w:val="20"/>
                <w:szCs w:val="20"/>
                <w:lang w:eastAsia="es-ES"/>
              </w:rPr>
            </w:pPr>
            <w:r w:rsidRPr="009E386E">
              <w:rPr>
                <w:rFonts w:eastAsia="Times New Roman" w:cs="Times New Roman"/>
                <w:color w:val="000000"/>
                <w:sz w:val="20"/>
                <w:szCs w:val="20"/>
                <w:lang w:eastAsia="es-ES"/>
              </w:rPr>
              <w:t>Física</w:t>
            </w:r>
          </w:p>
        </w:tc>
        <w:tc>
          <w:tcPr>
            <w:tcW w:w="2908" w:type="dxa"/>
            <w:tcBorders>
              <w:top w:val="outset" w:sz="6" w:space="0" w:color="auto"/>
              <w:left w:val="outset" w:sz="6" w:space="0" w:color="auto"/>
              <w:bottom w:val="outset" w:sz="6" w:space="0" w:color="auto"/>
              <w:right w:val="outset" w:sz="6" w:space="0" w:color="auto"/>
            </w:tcBorders>
            <w:vAlign w:val="center"/>
            <w:hideMark/>
          </w:tcPr>
          <w:p w:rsidR="009E386E" w:rsidRPr="009E386E" w:rsidRDefault="009E386E" w:rsidP="009E386E">
            <w:pPr>
              <w:spacing w:before="100" w:beforeAutospacing="1" w:after="100" w:afterAutospacing="1" w:line="240" w:lineRule="auto"/>
              <w:ind w:left="100" w:right="100"/>
              <w:rPr>
                <w:rFonts w:eastAsia="Times New Roman" w:cs="Times New Roman"/>
                <w:color w:val="000000"/>
                <w:sz w:val="20"/>
                <w:szCs w:val="20"/>
                <w:lang w:eastAsia="es-ES"/>
              </w:rPr>
            </w:pPr>
            <w:r w:rsidRPr="009E386E">
              <w:rPr>
                <w:rFonts w:eastAsia="Times New Roman" w:cs="Times New Roman"/>
                <w:color w:val="000000"/>
                <w:sz w:val="20"/>
                <w:szCs w:val="20"/>
                <w:lang w:eastAsia="es-ES"/>
              </w:rPr>
              <w:t>Ciencias de la Tierra y Medioambientales</w:t>
            </w:r>
          </w:p>
        </w:tc>
      </w:tr>
      <w:tr w:rsidR="009E386E" w:rsidRPr="009E386E" w:rsidTr="009E386E">
        <w:trPr>
          <w:trHeight w:val="414"/>
          <w:tblCellSpacing w:w="0" w:type="dxa"/>
          <w:jc w:val="center"/>
        </w:trPr>
        <w:tc>
          <w:tcPr>
            <w:tcW w:w="2787" w:type="dxa"/>
            <w:tcBorders>
              <w:top w:val="outset" w:sz="6" w:space="0" w:color="auto"/>
              <w:left w:val="outset" w:sz="6" w:space="0" w:color="auto"/>
              <w:bottom w:val="outset" w:sz="6" w:space="0" w:color="auto"/>
              <w:right w:val="outset" w:sz="6" w:space="0" w:color="auto"/>
            </w:tcBorders>
            <w:vAlign w:val="center"/>
            <w:hideMark/>
          </w:tcPr>
          <w:p w:rsidR="009E386E" w:rsidRPr="009E386E" w:rsidRDefault="009E386E" w:rsidP="009E386E">
            <w:pPr>
              <w:spacing w:before="100" w:after="100" w:line="240" w:lineRule="auto"/>
              <w:ind w:left="100" w:right="100"/>
              <w:rPr>
                <w:rFonts w:eastAsia="Times New Roman" w:cs="Times New Roman"/>
                <w:color w:val="000000"/>
                <w:sz w:val="20"/>
                <w:szCs w:val="20"/>
                <w:lang w:eastAsia="es-ES"/>
              </w:rPr>
            </w:pPr>
            <w:r w:rsidRPr="009E386E">
              <w:rPr>
                <w:rFonts w:eastAsia="Times New Roman" w:cs="Times New Roman"/>
                <w:color w:val="000000"/>
                <w:sz w:val="20"/>
                <w:szCs w:val="20"/>
                <w:lang w:eastAsia="es-ES"/>
              </w:rPr>
              <w:t>Matemáticas II</w:t>
            </w:r>
          </w:p>
        </w:tc>
        <w:tc>
          <w:tcPr>
            <w:tcW w:w="2908" w:type="dxa"/>
            <w:tcBorders>
              <w:top w:val="outset" w:sz="6" w:space="0" w:color="auto"/>
              <w:left w:val="outset" w:sz="6" w:space="0" w:color="auto"/>
              <w:bottom w:val="outset" w:sz="6" w:space="0" w:color="auto"/>
              <w:right w:val="outset" w:sz="6" w:space="0" w:color="auto"/>
            </w:tcBorders>
            <w:vAlign w:val="center"/>
            <w:hideMark/>
          </w:tcPr>
          <w:p w:rsidR="009E386E" w:rsidRPr="009E386E" w:rsidRDefault="009E386E" w:rsidP="009E386E">
            <w:pPr>
              <w:spacing w:before="100" w:beforeAutospacing="1" w:after="100" w:afterAutospacing="1" w:line="240" w:lineRule="auto"/>
              <w:ind w:left="100" w:right="100"/>
              <w:rPr>
                <w:rFonts w:eastAsia="Times New Roman" w:cs="Times New Roman"/>
                <w:color w:val="000000"/>
                <w:sz w:val="20"/>
                <w:szCs w:val="20"/>
                <w:lang w:eastAsia="es-ES"/>
              </w:rPr>
            </w:pPr>
            <w:r w:rsidRPr="009E386E">
              <w:rPr>
                <w:rFonts w:eastAsia="Times New Roman" w:cs="Times New Roman"/>
                <w:color w:val="000000"/>
                <w:sz w:val="20"/>
                <w:szCs w:val="20"/>
                <w:lang w:eastAsia="es-ES"/>
              </w:rPr>
              <w:t> </w:t>
            </w:r>
          </w:p>
        </w:tc>
      </w:tr>
      <w:tr w:rsidR="009E386E" w:rsidRPr="009E386E" w:rsidTr="009E386E">
        <w:trPr>
          <w:trHeight w:val="229"/>
          <w:tblCellSpacing w:w="0" w:type="dxa"/>
          <w:jc w:val="center"/>
        </w:trPr>
        <w:tc>
          <w:tcPr>
            <w:tcW w:w="2787" w:type="dxa"/>
            <w:tcBorders>
              <w:top w:val="outset" w:sz="6" w:space="0" w:color="auto"/>
              <w:left w:val="outset" w:sz="6" w:space="0" w:color="auto"/>
              <w:bottom w:val="outset" w:sz="6" w:space="0" w:color="auto"/>
              <w:right w:val="outset" w:sz="6" w:space="0" w:color="auto"/>
            </w:tcBorders>
            <w:vAlign w:val="center"/>
            <w:hideMark/>
          </w:tcPr>
          <w:p w:rsidR="009E386E" w:rsidRPr="009E386E" w:rsidRDefault="009E386E" w:rsidP="009E386E">
            <w:pPr>
              <w:spacing w:before="100" w:beforeAutospacing="1" w:after="100" w:afterAutospacing="1" w:line="240" w:lineRule="auto"/>
              <w:ind w:left="100" w:right="100"/>
              <w:rPr>
                <w:rFonts w:eastAsia="Times New Roman" w:cs="Times New Roman"/>
                <w:color w:val="000000"/>
                <w:sz w:val="20"/>
                <w:szCs w:val="20"/>
                <w:lang w:eastAsia="es-ES"/>
              </w:rPr>
            </w:pPr>
            <w:r w:rsidRPr="009E386E">
              <w:rPr>
                <w:rFonts w:eastAsia="Times New Roman" w:cs="Times New Roman"/>
                <w:color w:val="000000"/>
                <w:sz w:val="20"/>
                <w:szCs w:val="20"/>
                <w:lang w:eastAsia="es-ES"/>
              </w:rPr>
              <w:t>Química</w:t>
            </w:r>
          </w:p>
        </w:tc>
        <w:tc>
          <w:tcPr>
            <w:tcW w:w="2908" w:type="dxa"/>
            <w:tcBorders>
              <w:top w:val="outset" w:sz="6" w:space="0" w:color="auto"/>
              <w:left w:val="outset" w:sz="6" w:space="0" w:color="auto"/>
              <w:bottom w:val="outset" w:sz="6" w:space="0" w:color="auto"/>
              <w:right w:val="outset" w:sz="6" w:space="0" w:color="auto"/>
            </w:tcBorders>
            <w:vAlign w:val="center"/>
            <w:hideMark/>
          </w:tcPr>
          <w:p w:rsidR="009E386E" w:rsidRPr="009E386E" w:rsidRDefault="009E386E" w:rsidP="009E386E">
            <w:pPr>
              <w:spacing w:before="100" w:beforeAutospacing="1" w:after="100" w:afterAutospacing="1" w:line="240" w:lineRule="auto"/>
              <w:ind w:left="100" w:right="100"/>
              <w:rPr>
                <w:rFonts w:eastAsia="Times New Roman" w:cs="Times New Roman"/>
                <w:color w:val="000000"/>
                <w:sz w:val="20"/>
                <w:szCs w:val="20"/>
                <w:lang w:eastAsia="es-ES"/>
              </w:rPr>
            </w:pPr>
            <w:r w:rsidRPr="009E386E">
              <w:rPr>
                <w:rFonts w:eastAsia="Times New Roman" w:cs="Times New Roman"/>
                <w:color w:val="000000"/>
                <w:sz w:val="20"/>
                <w:szCs w:val="20"/>
                <w:lang w:eastAsia="es-ES"/>
              </w:rPr>
              <w:t> </w:t>
            </w:r>
          </w:p>
        </w:tc>
      </w:tr>
    </w:tbl>
    <w:p w:rsidR="009E386E" w:rsidRPr="009E386E" w:rsidRDefault="009E386E" w:rsidP="009E386E">
      <w:pPr>
        <w:spacing w:before="100" w:beforeAutospacing="1" w:after="100" w:afterAutospacing="1" w:line="240" w:lineRule="auto"/>
        <w:rPr>
          <w:rFonts w:eastAsia="Times New Roman" w:cs="Times New Roman"/>
          <w:color w:val="000000"/>
          <w:sz w:val="20"/>
          <w:szCs w:val="20"/>
          <w:lang w:eastAsia="es-ES"/>
        </w:rPr>
      </w:pPr>
      <w:r w:rsidRPr="009E386E">
        <w:rPr>
          <w:rFonts w:eastAsia="Times New Roman" w:cs="Times New Roman"/>
          <w:color w:val="000000"/>
          <w:sz w:val="20"/>
          <w:szCs w:val="20"/>
          <w:lang w:eastAsia="es-ES"/>
        </w:rPr>
        <w:t>(1) No se imparten en la Comunidad de Madrid en segundo de bachillerato.</w:t>
      </w:r>
    </w:p>
    <w:p w:rsidR="009E386E" w:rsidRPr="009E386E" w:rsidRDefault="009E386E" w:rsidP="009E386E">
      <w:pPr>
        <w:spacing w:before="100" w:beforeAutospacing="1" w:after="100" w:afterAutospacing="1" w:line="240" w:lineRule="auto"/>
        <w:rPr>
          <w:rFonts w:eastAsia="Times New Roman" w:cs="Times New Roman"/>
          <w:color w:val="000000"/>
          <w:sz w:val="20"/>
          <w:szCs w:val="20"/>
          <w:lang w:eastAsia="es-ES"/>
        </w:rPr>
      </w:pPr>
      <w:r w:rsidRPr="009E386E">
        <w:rPr>
          <w:rFonts w:eastAsia="Times New Roman" w:cs="Times New Roman"/>
          <w:color w:val="000000"/>
          <w:sz w:val="20"/>
          <w:szCs w:val="20"/>
          <w:lang w:eastAsia="es-ES"/>
        </w:rPr>
        <w:t> Para acceder a este Grado con un Título de Técnico Superior de Formación Profesional o equivalente se tendrá en cuenta la nota media del expediente. En caso de que la demanda de plazas sea superior a la oferta, la nota de acceso se calculará sumando a la nota media del expediente la ponderación obtenida para este Grado en la fase específica de la prueba de acceso. El cuadro de ponderaciones es el mismo para Bachillerato y Formación Profesional.</w:t>
      </w:r>
    </w:p>
    <w:p w:rsidR="009E386E" w:rsidRPr="009E386E" w:rsidRDefault="009E386E" w:rsidP="009E386E">
      <w:pPr>
        <w:spacing w:before="100" w:beforeAutospacing="1" w:after="100" w:afterAutospacing="1" w:line="240" w:lineRule="auto"/>
        <w:rPr>
          <w:rFonts w:eastAsia="Times New Roman" w:cs="Times New Roman"/>
          <w:color w:val="000000"/>
          <w:sz w:val="20"/>
          <w:szCs w:val="20"/>
          <w:lang w:eastAsia="es-ES"/>
        </w:rPr>
      </w:pPr>
      <w:r w:rsidRPr="009E386E">
        <w:rPr>
          <w:rFonts w:eastAsia="Times New Roman" w:cs="Times New Roman"/>
          <w:color w:val="000000"/>
          <w:sz w:val="20"/>
          <w:szCs w:val="20"/>
          <w:lang w:eastAsia="es-ES"/>
        </w:rPr>
        <w:t>Sólo en caso de empate, se tendrá en cuenta la vinculación del Título a la Rama de Conocimiento.</w:t>
      </w:r>
    </w:p>
    <w:p w:rsidR="0092349C" w:rsidRPr="009E386E" w:rsidRDefault="0092349C">
      <w:pPr>
        <w:rPr>
          <w:sz w:val="20"/>
          <w:szCs w:val="20"/>
        </w:rPr>
      </w:pPr>
    </w:p>
    <w:sectPr w:rsidR="0092349C" w:rsidRPr="009E386E" w:rsidSect="009234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E386E"/>
    <w:rsid w:val="008770CF"/>
    <w:rsid w:val="008C409A"/>
    <w:rsid w:val="0092349C"/>
    <w:rsid w:val="009E38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9C"/>
  </w:style>
  <w:style w:type="paragraph" w:styleId="Ttulo2">
    <w:name w:val="heading 2"/>
    <w:basedOn w:val="Normal"/>
    <w:link w:val="Ttulo2Car"/>
    <w:uiPriority w:val="9"/>
    <w:qFormat/>
    <w:rsid w:val="009E386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E386E"/>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9E38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E386E"/>
    <w:rPr>
      <w:b/>
      <w:bCs/>
    </w:rPr>
  </w:style>
</w:styles>
</file>

<file path=word/webSettings.xml><?xml version="1.0" encoding="utf-8"?>
<w:webSettings xmlns:r="http://schemas.openxmlformats.org/officeDocument/2006/relationships" xmlns:w="http://schemas.openxmlformats.org/wordprocessingml/2006/main">
  <w:divs>
    <w:div w:id="799998362">
      <w:bodyDiv w:val="1"/>
      <w:marLeft w:val="0"/>
      <w:marRight w:val="0"/>
      <w:marTop w:val="0"/>
      <w:marBottom w:val="0"/>
      <w:divBdr>
        <w:top w:val="none" w:sz="0" w:space="0" w:color="auto"/>
        <w:left w:val="none" w:sz="0" w:space="0" w:color="auto"/>
        <w:bottom w:val="none" w:sz="0" w:space="0" w:color="auto"/>
        <w:right w:val="none" w:sz="0" w:space="0" w:color="auto"/>
      </w:divBdr>
      <w:divsChild>
        <w:div w:id="629435170">
          <w:marLeft w:val="0"/>
          <w:marRight w:val="0"/>
          <w:marTop w:val="0"/>
          <w:marBottom w:val="0"/>
          <w:divBdr>
            <w:top w:val="none" w:sz="0" w:space="0" w:color="auto"/>
            <w:left w:val="none" w:sz="0" w:space="0" w:color="auto"/>
            <w:bottom w:val="none" w:sz="0" w:space="0" w:color="auto"/>
            <w:right w:val="none" w:sz="0" w:space="0" w:color="auto"/>
          </w:divBdr>
          <w:divsChild>
            <w:div w:id="1346319525">
              <w:marLeft w:val="0"/>
              <w:marRight w:val="0"/>
              <w:marTop w:val="0"/>
              <w:marBottom w:val="0"/>
              <w:divBdr>
                <w:top w:val="none" w:sz="0" w:space="0" w:color="auto"/>
                <w:left w:val="none" w:sz="0" w:space="0" w:color="auto"/>
                <w:bottom w:val="none" w:sz="0" w:space="0" w:color="auto"/>
                <w:right w:val="none" w:sz="0" w:space="0" w:color="auto"/>
              </w:divBdr>
            </w:div>
            <w:div w:id="7559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1057</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ucm</dc:creator>
  <cp:keywords/>
  <dc:description/>
  <cp:lastModifiedBy>ucm</cp:lastModifiedBy>
  <cp:revision>1</cp:revision>
  <dcterms:created xsi:type="dcterms:W3CDTF">2014-02-18T18:41:00Z</dcterms:created>
  <dcterms:modified xsi:type="dcterms:W3CDTF">2014-02-18T18:42:00Z</dcterms:modified>
</cp:coreProperties>
</file>